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B890" w14:textId="24D2EAB5" w:rsidR="005543F2" w:rsidRDefault="005543F2" w:rsidP="007C1E87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8E140BC" w14:textId="26AD17CC" w:rsidR="0037695F" w:rsidRPr="007C1E87" w:rsidRDefault="0037695F" w:rsidP="007C1E87">
      <w:pPr>
        <w:ind w:left="4253" w:right="352"/>
        <w:rPr>
          <w:sz w:val="24"/>
          <w:szCs w:val="24"/>
        </w:rPr>
      </w:pPr>
      <w:r w:rsidRPr="007C1E87">
        <w:rPr>
          <w:sz w:val="24"/>
          <w:szCs w:val="24"/>
        </w:rPr>
        <w:t xml:space="preserve">Jonavos r. Užusalių mokyklos-daugiafunkcio centro </w:t>
      </w:r>
    </w:p>
    <w:p w14:paraId="247D67F8" w14:textId="77777777" w:rsidR="0037695F" w:rsidRPr="007C1E87" w:rsidRDefault="0037695F" w:rsidP="007C1E87">
      <w:pPr>
        <w:ind w:left="4253" w:right="532"/>
        <w:rPr>
          <w:sz w:val="24"/>
          <w:szCs w:val="24"/>
        </w:rPr>
      </w:pPr>
      <w:r w:rsidRPr="007C1E87">
        <w:rPr>
          <w:sz w:val="24"/>
          <w:szCs w:val="24"/>
        </w:rPr>
        <w:t xml:space="preserve">direktoriaus 2022 m. spalio 24  d. </w:t>
      </w:r>
    </w:p>
    <w:p w14:paraId="7A0A5408" w14:textId="772E6FE2" w:rsidR="0037695F" w:rsidRPr="007C1E87" w:rsidRDefault="0037695F" w:rsidP="007C1E87">
      <w:pPr>
        <w:ind w:left="4253" w:right="532"/>
        <w:rPr>
          <w:sz w:val="24"/>
          <w:szCs w:val="24"/>
        </w:rPr>
      </w:pPr>
      <w:r w:rsidRPr="007C1E87">
        <w:rPr>
          <w:sz w:val="24"/>
          <w:szCs w:val="24"/>
        </w:rPr>
        <w:t>įsakym</w:t>
      </w:r>
      <w:r w:rsidR="005543F2">
        <w:rPr>
          <w:sz w:val="24"/>
          <w:szCs w:val="24"/>
        </w:rPr>
        <w:t>u</w:t>
      </w:r>
      <w:r w:rsidRPr="007C1E87">
        <w:rPr>
          <w:sz w:val="24"/>
          <w:szCs w:val="24"/>
        </w:rPr>
        <w:t xml:space="preserve"> Nr. V-105</w:t>
      </w:r>
    </w:p>
    <w:p w14:paraId="267E9ADB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07856B" w14:textId="77777777" w:rsidR="0037695F" w:rsidRPr="007C1E87" w:rsidRDefault="0037695F" w:rsidP="007C1E87">
      <w:pPr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 xml:space="preserve">JONAVOS R. </w:t>
      </w:r>
      <w:r w:rsidRPr="007C1E87">
        <w:rPr>
          <w:b/>
          <w:color w:val="000000"/>
          <w:sz w:val="24"/>
          <w:szCs w:val="24"/>
        </w:rPr>
        <w:t>UŽUSALIŲ MOKYKLOS-DAUGIAFUNKCIO CENTRO</w:t>
      </w:r>
    </w:p>
    <w:p w14:paraId="55964D1C" w14:textId="77777777" w:rsidR="0037695F" w:rsidRPr="007C1E87" w:rsidRDefault="0037695F" w:rsidP="007C1E87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7C1E87">
        <w:rPr>
          <w:b/>
          <w:sz w:val="24"/>
          <w:szCs w:val="24"/>
        </w:rPr>
        <w:t xml:space="preserve">FIZIKOS MOKYTOJO PAREIGYBĖS APRAŠYMAS </w:t>
      </w:r>
    </w:p>
    <w:p w14:paraId="021912F4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F8BDB6" w14:textId="77777777" w:rsidR="0037695F" w:rsidRPr="007C1E87" w:rsidRDefault="0037695F" w:rsidP="007C1E87">
      <w:pPr>
        <w:ind w:left="3969" w:right="4213"/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>I SKYRIUS PAREIGYBĖ</w:t>
      </w:r>
    </w:p>
    <w:p w14:paraId="5F92A2E5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7800961" w14:textId="77777777" w:rsidR="0037695F" w:rsidRPr="007C1E87" w:rsidRDefault="0037695F" w:rsidP="007C1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right="105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Jonavos r. Užusalių mokyklos-daugiafunkcio centro (toliau - Mokykla) fizikos mokytojo pareigybė.</w:t>
      </w:r>
    </w:p>
    <w:p w14:paraId="25F48E14" w14:textId="4549C251" w:rsidR="0037695F" w:rsidRPr="007C1E87" w:rsidRDefault="0037695F" w:rsidP="007C1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Pareigybės lygis – A2. Pareigybės grupė –specialistai, mokytojai.</w:t>
      </w:r>
    </w:p>
    <w:p w14:paraId="31FB65D1" w14:textId="77777777" w:rsidR="0037695F" w:rsidRPr="007C1E87" w:rsidRDefault="0037695F" w:rsidP="007C1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Mokytojas pavaldus tiesiogiai direktoriaus pavaduotojui ugdymui.</w:t>
      </w:r>
    </w:p>
    <w:p w14:paraId="147DC085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4F6DA2" w14:textId="77777777" w:rsidR="0037695F" w:rsidRPr="007C1E87" w:rsidRDefault="0037695F" w:rsidP="007C1E87">
      <w:pPr>
        <w:ind w:left="793" w:right="797"/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>II SKYRIUS</w:t>
      </w:r>
    </w:p>
    <w:p w14:paraId="7D2DA5FB" w14:textId="77777777" w:rsidR="0037695F" w:rsidRPr="007C1E87" w:rsidRDefault="0037695F" w:rsidP="007C1E87">
      <w:pPr>
        <w:ind w:left="567" w:right="797"/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>SPECIALŪS REIKALAVIMAI ŠIAS PAREIGAS EINANČIAM MOKYTOJUI</w:t>
      </w:r>
    </w:p>
    <w:p w14:paraId="5B458EFC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8B3CAE" w14:textId="77777777" w:rsidR="0037695F" w:rsidRPr="007C1E87" w:rsidRDefault="0037695F" w:rsidP="007C1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Mokytojas, einantis šias pareigas, turi atitikti šiuos specialius reikalavimus:</w:t>
      </w:r>
    </w:p>
    <w:p w14:paraId="76A39E99" w14:textId="6F89D9FF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turėti aukštąjį, aukštesnįjį, įgytą iki 2009 metų, ar specialųjį vidurinį, į</w:t>
      </w:r>
      <w:r w:rsidR="00A56175" w:rsidRPr="007C1E87">
        <w:rPr>
          <w:color w:val="000000"/>
          <w:sz w:val="24"/>
          <w:szCs w:val="24"/>
        </w:rPr>
        <w:t>gytą iki 1995 metų išsilavinimą.</w:t>
      </w:r>
    </w:p>
    <w:p w14:paraId="7E08470B" w14:textId="5589D0DF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būt</w:t>
      </w:r>
      <w:r w:rsidR="00A56175" w:rsidRPr="007C1E87">
        <w:rPr>
          <w:color w:val="000000"/>
          <w:sz w:val="24"/>
          <w:szCs w:val="24"/>
        </w:rPr>
        <w:t>i įgijęs pedagogo kvalifikaciją.</w:t>
      </w:r>
    </w:p>
    <w:p w14:paraId="1E9A6DC1" w14:textId="77777777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6" w:firstLine="571"/>
        <w:jc w:val="both"/>
        <w:rPr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būti baigęs </w:t>
      </w:r>
      <w:r w:rsidRPr="007C1E87">
        <w:rPr>
          <w:sz w:val="24"/>
          <w:szCs w:val="24"/>
        </w:rPr>
        <w:t>fizikos mokytojų rengimo arba fizikos ir (ar) biofizikos studijų programą.</w:t>
      </w:r>
    </w:p>
    <w:p w14:paraId="2571493A" w14:textId="6FDE6C1E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</w:t>
      </w:r>
      <w:r w:rsidR="00A56175" w:rsidRPr="007C1E87">
        <w:rPr>
          <w:color w:val="000000"/>
          <w:sz w:val="24"/>
          <w:szCs w:val="24"/>
        </w:rPr>
        <w:t>likos Vyriausybės reikalavimus.</w:t>
      </w:r>
    </w:p>
    <w:p w14:paraId="0612EDD2" w14:textId="77777777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7C1E87">
        <w:rPr>
          <w:sz w:val="24"/>
          <w:szCs w:val="24"/>
        </w:rPr>
        <w:t>įsakymu.</w:t>
      </w:r>
    </w:p>
    <w:p w14:paraId="0A1077EF" w14:textId="77777777" w:rsidR="00A56175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A56175" w:rsidRPr="007C1E87">
        <w:rPr>
          <w:color w:val="000000"/>
          <w:sz w:val="24"/>
          <w:szCs w:val="24"/>
        </w:rPr>
        <w:t>os švietimo ir mokslo ministras.</w:t>
      </w:r>
    </w:p>
    <w:p w14:paraId="1A3BDB91" w14:textId="34D5D0C2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7C1E87">
        <w:rPr>
          <w:sz w:val="24"/>
          <w:szCs w:val="24"/>
        </w:rPr>
        <w:t xml:space="preserve"> įsakymu.</w:t>
      </w:r>
    </w:p>
    <w:p w14:paraId="484DE148" w14:textId="3B58DADA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hanging="42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žinoti darbuotojų saugos ir sveikatos, priešgaisrinės saugos reikalavimus</w:t>
      </w:r>
      <w:r w:rsidR="00A56175" w:rsidRPr="007C1E87">
        <w:rPr>
          <w:color w:val="000000"/>
          <w:sz w:val="24"/>
          <w:szCs w:val="24"/>
        </w:rPr>
        <w:t>.</w:t>
      </w:r>
    </w:p>
    <w:p w14:paraId="6EC85FB8" w14:textId="77777777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</w:tabs>
        <w:ind w:right="102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7C1E87">
        <w:rPr>
          <w:sz w:val="24"/>
          <w:szCs w:val="24"/>
        </w:rPr>
        <w:t>įsakymu.</w:t>
      </w:r>
    </w:p>
    <w:p w14:paraId="180D0A83" w14:textId="0814EFE7" w:rsidR="0037695F" w:rsidRPr="007C1E87" w:rsidRDefault="00A56175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7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žinoti ir išmanyti </w:t>
      </w:r>
      <w:r w:rsidR="0037695F" w:rsidRPr="007C1E87">
        <w:rPr>
          <w:color w:val="000000"/>
          <w:sz w:val="24"/>
          <w:szCs w:val="24"/>
        </w:rPr>
        <w:t>Mokyklos struktūr</w:t>
      </w:r>
      <w:r w:rsidRPr="007C1E87">
        <w:rPr>
          <w:color w:val="000000"/>
          <w:sz w:val="24"/>
          <w:szCs w:val="24"/>
        </w:rPr>
        <w:t>ą, darbo organizavimo principus,</w:t>
      </w:r>
      <w:r w:rsidR="0037695F" w:rsidRPr="007C1E87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264437A7" w14:textId="77777777" w:rsidR="00A56175" w:rsidRPr="007C1E87" w:rsidRDefault="00A56175" w:rsidP="007C1E87">
      <w:pPr>
        <w:ind w:right="1885"/>
        <w:rPr>
          <w:b/>
          <w:sz w:val="24"/>
          <w:szCs w:val="24"/>
        </w:rPr>
      </w:pPr>
    </w:p>
    <w:p w14:paraId="39FCE501" w14:textId="77777777" w:rsidR="0037695F" w:rsidRPr="007C1E87" w:rsidRDefault="0037695F" w:rsidP="007C1E87">
      <w:pPr>
        <w:ind w:left="1701" w:right="1885"/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>III SKYRIUS</w:t>
      </w:r>
    </w:p>
    <w:p w14:paraId="35EA3480" w14:textId="77777777" w:rsidR="0037695F" w:rsidRPr="007C1E87" w:rsidRDefault="0037695F" w:rsidP="007C1E87">
      <w:pPr>
        <w:ind w:left="1560" w:right="1892"/>
        <w:jc w:val="center"/>
        <w:rPr>
          <w:b/>
          <w:sz w:val="24"/>
          <w:szCs w:val="24"/>
        </w:rPr>
      </w:pPr>
      <w:r w:rsidRPr="007C1E87">
        <w:rPr>
          <w:b/>
          <w:sz w:val="24"/>
          <w:szCs w:val="24"/>
        </w:rPr>
        <w:t>ŠIAS PAREIGAS EINANČIO MOKYTOJO FUNKCIJOS</w:t>
      </w:r>
    </w:p>
    <w:p w14:paraId="74ECE3DF" w14:textId="77777777" w:rsidR="0037695F" w:rsidRPr="007C1E87" w:rsidRDefault="0037695F" w:rsidP="007C1E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EEEC5E4" w14:textId="77777777" w:rsidR="0037695F" w:rsidRPr="007C1E87" w:rsidRDefault="0037695F" w:rsidP="007C1E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Šias pareigas einantis mokytojas vykdo šias funkcijas:</w:t>
      </w:r>
    </w:p>
    <w:p w14:paraId="692A9A9C" w14:textId="105E074C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ugdo mokinius pagal fizikos bendrąją programą ir jai įgyvendinti Mokyklos </w:t>
      </w:r>
      <w:r w:rsidR="00A56175" w:rsidRPr="007C1E87">
        <w:rPr>
          <w:color w:val="000000"/>
          <w:sz w:val="24"/>
          <w:szCs w:val="24"/>
        </w:rPr>
        <w:t>ugdymo plane numatytas valandas.</w:t>
      </w:r>
    </w:p>
    <w:p w14:paraId="024AA443" w14:textId="33A3C864" w:rsidR="00A56175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 ugdymo procesą organizuoja remdamasis mokinių gebėjimais, polinkiais ir poreikiais, </w:t>
      </w:r>
      <w:r w:rsidRPr="007C1E87">
        <w:rPr>
          <w:color w:val="000000"/>
          <w:sz w:val="24"/>
          <w:szCs w:val="24"/>
        </w:rPr>
        <w:lastRenderedPageBreak/>
        <w:t>at</w:t>
      </w:r>
      <w:r w:rsidR="00A56175" w:rsidRPr="007C1E87">
        <w:rPr>
          <w:color w:val="000000"/>
          <w:sz w:val="24"/>
          <w:szCs w:val="24"/>
        </w:rPr>
        <w:t>sižvelgdamas į mokinių asmeninę socialinę ir kultūrinę patirtį.</w:t>
      </w:r>
    </w:p>
    <w:p w14:paraId="487F9BEB" w14:textId="77777777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66A7D2A8" w14:textId="7AE287EE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 xml:space="preserve">vertina mokinių pasiekimus ir informuoja apie mokymosi pažangą mokinių tėvus (globėjus) ir Mokyklos vadovus, bendradarbiauja su </w:t>
      </w:r>
      <w:r w:rsidR="00A56175" w:rsidRPr="007C1E87">
        <w:rPr>
          <w:color w:val="000000"/>
          <w:sz w:val="24"/>
          <w:szCs w:val="24"/>
        </w:rPr>
        <w:t>mokyklos pedagogais</w:t>
      </w:r>
      <w:r w:rsidRPr="007C1E87">
        <w:rPr>
          <w:color w:val="000000"/>
          <w:sz w:val="24"/>
          <w:szCs w:val="24"/>
        </w:rPr>
        <w:t>, analizuoja ir įsivertina savo pedagoginę veiklą, to</w:t>
      </w:r>
      <w:r w:rsidR="00A56175" w:rsidRPr="007C1E87">
        <w:rPr>
          <w:color w:val="000000"/>
          <w:sz w:val="24"/>
          <w:szCs w:val="24"/>
        </w:rPr>
        <w:t>bulina profesines kompetencijas.</w:t>
      </w:r>
    </w:p>
    <w:p w14:paraId="4F495823" w14:textId="77777777" w:rsidR="0037695F" w:rsidRPr="007C1E87" w:rsidRDefault="0037695F" w:rsidP="007C1E8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organizuoja ir vykdo veiklas Mokyklos bendruomenei: rengia mokinius konkursams, olimpiadoms, vykdo projektinę veiklą.</w:t>
      </w:r>
    </w:p>
    <w:p w14:paraId="2F5B0741" w14:textId="77777777" w:rsidR="005543F2" w:rsidRDefault="0037695F" w:rsidP="005543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7C1E87">
        <w:rPr>
          <w:color w:val="000000"/>
          <w:sz w:val="24"/>
          <w:szCs w:val="24"/>
        </w:rPr>
        <w:t>dalyvauja mokyklos sudar</w:t>
      </w:r>
      <w:r w:rsidR="00A56175" w:rsidRPr="007C1E87">
        <w:rPr>
          <w:color w:val="000000"/>
          <w:sz w:val="24"/>
          <w:szCs w:val="24"/>
        </w:rPr>
        <w:t>ytose darbo grupėse, komisijose,</w:t>
      </w:r>
      <w:r w:rsidRPr="007C1E87">
        <w:rPr>
          <w:color w:val="000000"/>
          <w:sz w:val="24"/>
          <w:szCs w:val="24"/>
        </w:rPr>
        <w:t xml:space="preserve"> organizuojamuose susirinkimuose, posėdžiuose, Mokyklos bendrojo ugdymo dalykų </w:t>
      </w:r>
      <w:r w:rsidR="00A56175" w:rsidRPr="007C1E87">
        <w:rPr>
          <w:color w:val="000000"/>
          <w:sz w:val="24"/>
          <w:szCs w:val="24"/>
        </w:rPr>
        <w:t>metodinėje grupėje.</w:t>
      </w:r>
    </w:p>
    <w:p w14:paraId="65FA9083" w14:textId="089DF8B6" w:rsidR="005543F2" w:rsidRPr="005543F2" w:rsidRDefault="0037695F" w:rsidP="005543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5543F2">
        <w:rPr>
          <w:color w:val="000000"/>
          <w:sz w:val="24"/>
          <w:szCs w:val="24"/>
        </w:rPr>
        <w:t>dalyvauja rajono bendrojo ugdymo įstaigų fizikos mokytojų metodinės grupės veiklo</w:t>
      </w:r>
      <w:r w:rsidR="007C1E87" w:rsidRPr="005543F2">
        <w:rPr>
          <w:color w:val="000000"/>
          <w:sz w:val="24"/>
          <w:szCs w:val="24"/>
        </w:rPr>
        <w:t>je, tobulina savo kvalifikaciją,</w:t>
      </w:r>
      <w:r w:rsidR="005543F2" w:rsidRPr="005543F2">
        <w:rPr>
          <w:spacing w:val="-58"/>
          <w:sz w:val="24"/>
          <w:szCs w:val="24"/>
        </w:rPr>
        <w:t xml:space="preserve"> </w:t>
      </w:r>
      <w:r w:rsidR="005543F2" w:rsidRPr="005543F2">
        <w:rPr>
          <w:spacing w:val="1"/>
          <w:sz w:val="24"/>
          <w:szCs w:val="24"/>
        </w:rPr>
        <w:t xml:space="preserve">jei paskirtas </w:t>
      </w:r>
      <w:r w:rsidR="005543F2" w:rsidRPr="005543F2">
        <w:rPr>
          <w:sz w:val="24"/>
          <w:szCs w:val="24"/>
        </w:rPr>
        <w:t>vadovauti</w:t>
      </w:r>
      <w:r w:rsidR="005543F2" w:rsidRPr="005543F2">
        <w:rPr>
          <w:spacing w:val="1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>klasei</w:t>
      </w:r>
      <w:r w:rsidR="005543F2" w:rsidRPr="005543F2">
        <w:rPr>
          <w:spacing w:val="1"/>
          <w:sz w:val="24"/>
          <w:szCs w:val="24"/>
        </w:rPr>
        <w:t xml:space="preserve">, vadovauja jai </w:t>
      </w:r>
      <w:r w:rsidR="005543F2" w:rsidRPr="005543F2">
        <w:rPr>
          <w:sz w:val="24"/>
          <w:szCs w:val="24"/>
        </w:rPr>
        <w:t>pagal</w:t>
      </w:r>
      <w:r w:rsidR="005543F2" w:rsidRPr="005543F2">
        <w:rPr>
          <w:spacing w:val="1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>Mokyklos</w:t>
      </w:r>
      <w:r w:rsidR="005543F2" w:rsidRPr="005543F2">
        <w:rPr>
          <w:spacing w:val="1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 xml:space="preserve">direktoriaus </w:t>
      </w:r>
      <w:r w:rsidR="005543F2" w:rsidRPr="005543F2">
        <w:rPr>
          <w:spacing w:val="-57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>įsakymu</w:t>
      </w:r>
      <w:r w:rsidR="005543F2" w:rsidRPr="005543F2">
        <w:rPr>
          <w:spacing w:val="-1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>patvirtintą Klasės</w:t>
      </w:r>
      <w:r w:rsidR="005543F2" w:rsidRPr="005543F2">
        <w:rPr>
          <w:spacing w:val="-1"/>
          <w:sz w:val="24"/>
          <w:szCs w:val="24"/>
        </w:rPr>
        <w:t xml:space="preserve"> </w:t>
      </w:r>
      <w:r w:rsidR="005543F2" w:rsidRPr="005543F2">
        <w:rPr>
          <w:sz w:val="24"/>
          <w:szCs w:val="24"/>
        </w:rPr>
        <w:t>vadovo veiklos aprašą.</w:t>
      </w:r>
    </w:p>
    <w:p w14:paraId="510AA88C" w14:textId="18DF2582" w:rsidR="0037695F" w:rsidRPr="007C1E87" w:rsidRDefault="0037695F" w:rsidP="005543F2">
      <w:p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left="668" w:right="101"/>
        <w:jc w:val="center"/>
        <w:rPr>
          <w:color w:val="000000"/>
          <w:sz w:val="24"/>
          <w:szCs w:val="24"/>
        </w:rPr>
      </w:pPr>
      <w:r w:rsidRPr="007C1E8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259263E" wp14:editId="011CDB10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Laisva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A9B8F" id="Laisva forma 2" o:spid="_x0000_s1026" style="position:absolute;margin-left:189pt;margin-top:15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2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" path="m,l2280,e" filled="f">
                <v:path arrowok="t" o:extrusionok="f"/>
                <w10:wrap type="topAndBottom"/>
              </v:shape>
            </w:pict>
          </mc:Fallback>
        </mc:AlternateContent>
      </w:r>
      <w:r w:rsidRPr="007C1E87">
        <w:rPr>
          <w:color w:val="000000"/>
          <w:sz w:val="24"/>
          <w:szCs w:val="24"/>
        </w:rPr>
        <w:t>_________________</w:t>
      </w:r>
    </w:p>
    <w:p w14:paraId="20F0F161" w14:textId="77777777" w:rsidR="0037695F" w:rsidRPr="007C1E87" w:rsidRDefault="0037695F" w:rsidP="007C1E87">
      <w:pPr>
        <w:rPr>
          <w:sz w:val="24"/>
          <w:szCs w:val="24"/>
        </w:rPr>
      </w:pPr>
    </w:p>
    <w:p w14:paraId="5668ED01" w14:textId="77777777" w:rsidR="00AB5297" w:rsidRPr="007C1E87" w:rsidRDefault="00AB5297" w:rsidP="007C1E87">
      <w:pPr>
        <w:rPr>
          <w:sz w:val="24"/>
          <w:szCs w:val="24"/>
        </w:rPr>
      </w:pPr>
    </w:p>
    <w:sectPr w:rsidR="00AB5297" w:rsidRPr="007C1E87" w:rsidSect="00A56175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572"/>
    <w:multiLevelType w:val="multilevel"/>
    <w:tmpl w:val="247E771C"/>
    <w:lvl w:ilvl="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712003335">
    <w:abstractNumId w:val="0"/>
  </w:num>
  <w:num w:numId="2" w16cid:durableId="194264085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5022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5F"/>
    <w:rsid w:val="000F1531"/>
    <w:rsid w:val="0037695F"/>
    <w:rsid w:val="005543F2"/>
    <w:rsid w:val="007C1E87"/>
    <w:rsid w:val="00997808"/>
    <w:rsid w:val="00A56175"/>
    <w:rsid w:val="00A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DCE6"/>
  <w15:chartTrackingRefBased/>
  <w15:docId w15:val="{DD5672B0-B2DE-405D-9582-810C1AE4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37695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7C1E87"/>
    <w:pPr>
      <w:autoSpaceDE w:val="0"/>
      <w:autoSpaceDN w:val="0"/>
      <w:ind w:left="102" w:firstLine="566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OLGA NIKITINA</cp:lastModifiedBy>
  <cp:revision>6</cp:revision>
  <dcterms:created xsi:type="dcterms:W3CDTF">2022-12-27T00:22:00Z</dcterms:created>
  <dcterms:modified xsi:type="dcterms:W3CDTF">2023-01-16T10:42:00Z</dcterms:modified>
</cp:coreProperties>
</file>